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="00AD6F29">
        <w:rPr>
          <w:rFonts w:ascii="Times New Roman" w:hAnsi="Times New Roman" w:cs="Times New Roman"/>
          <w:sz w:val="28"/>
          <w:szCs w:val="28"/>
        </w:rPr>
        <w:t>29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>август</w:t>
      </w:r>
      <w:r w:rsidR="00AD6F29">
        <w:rPr>
          <w:rFonts w:ascii="Times New Roman" w:hAnsi="Times New Roman" w:cs="Times New Roman"/>
          <w:sz w:val="28"/>
          <w:szCs w:val="28"/>
        </w:rPr>
        <w:t>а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5D3AB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AD6F29">
        <w:rPr>
          <w:rFonts w:ascii="Times New Roman" w:hAnsi="Times New Roman" w:cs="Times New Roman"/>
          <w:sz w:val="28"/>
          <w:szCs w:val="28"/>
        </w:rPr>
        <w:t>1734</w:t>
      </w:r>
      <w:r w:rsidR="009125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5D3AB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Антикоррупционного стандарта поведения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3AB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«Зеленоградский городской округ» в сфере организации </w:t>
      </w:r>
      <w:r w:rsidRPr="005D3ABF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муниципальных нужд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5D3ABF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Федеральным законом от 06.10.2003 № 131-ФЗ «Об общих принципах организации местного самоуправления в Российской Федерации», с целью предупреждения коррупции в сфере организации закупок для обеспечения муниципальных нужд, </w:t>
      </w:r>
      <w:r w:rsidR="00C511C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>Утвердить антикоррупционный стандарт поведения муниципальных служащих администрации муниципального образования «Зеленоградский городской округ» в сфере закупок товаров, работ, услуг для обеспечения муниципальных нужд,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 xml:space="preserve">администрации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(</w:t>
      </w:r>
      <w:proofErr w:type="spell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Бачарин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Н.В.)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О</w:t>
      </w:r>
      <w:r w:rsidR="00AA06C7" w:rsidRPr="00AA06C7">
        <w:rPr>
          <w:rFonts w:ascii="Times New Roman" w:hAnsi="Times New Roman" w:cs="Times New Roman"/>
          <w:sz w:val="28"/>
          <w:szCs w:val="28"/>
        </w:rPr>
        <w:t>тдел</w:t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9125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06C7" w:rsidRPr="00AA06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Демин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06C7" w:rsidRPr="00AA06C7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общественно-политической газете «Волна».</w:t>
      </w:r>
    </w:p>
    <w:p w:rsidR="00652191" w:rsidRPr="00AA06C7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делами </w:t>
      </w:r>
      <w:r w:rsidR="009125A4">
        <w:rPr>
          <w:rFonts w:ascii="Times New Roman" w:hAnsi="Times New Roman" w:cs="Times New Roman"/>
          <w:sz w:val="28"/>
          <w:szCs w:val="28"/>
        </w:rPr>
        <w:t>администрации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Бачарину</w:t>
      </w:r>
      <w:proofErr w:type="spellEnd"/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8835E8" w:rsidP="008835E8">
      <w:pPr>
        <w:pStyle w:val="a3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>от «</w:t>
      </w:r>
      <w:r w:rsidR="009125A4">
        <w:rPr>
          <w:rFonts w:ascii="Times New Roman" w:hAnsi="Times New Roman" w:cs="Times New Roman"/>
          <w:sz w:val="20"/>
          <w:szCs w:val="20"/>
        </w:rPr>
        <w:t xml:space="preserve"> </w:t>
      </w:r>
      <w:r w:rsidR="00AD6F29">
        <w:rPr>
          <w:rFonts w:ascii="Times New Roman" w:hAnsi="Times New Roman" w:cs="Times New Roman"/>
          <w:sz w:val="20"/>
          <w:szCs w:val="20"/>
        </w:rPr>
        <w:t>29</w:t>
      </w:r>
      <w:r w:rsidR="009125A4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9125A4">
        <w:rPr>
          <w:rFonts w:ascii="Times New Roman" w:hAnsi="Times New Roman" w:cs="Times New Roman"/>
          <w:sz w:val="20"/>
          <w:szCs w:val="20"/>
        </w:rPr>
        <w:t>август</w:t>
      </w:r>
      <w:r w:rsidR="00AD6F29">
        <w:rPr>
          <w:rFonts w:ascii="Times New Roman" w:hAnsi="Times New Roman" w:cs="Times New Roman"/>
          <w:sz w:val="20"/>
          <w:szCs w:val="20"/>
        </w:rPr>
        <w:t xml:space="preserve">а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6F29">
        <w:rPr>
          <w:rFonts w:ascii="Times New Roman" w:hAnsi="Times New Roman" w:cs="Times New Roman"/>
          <w:sz w:val="20"/>
          <w:szCs w:val="20"/>
        </w:rPr>
        <w:t>1734</w:t>
      </w:r>
      <w:r w:rsidR="009125A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835E8" w:rsidRPr="008835E8" w:rsidRDefault="008835E8" w:rsidP="008835E8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Антикоррупционный </w:t>
      </w:r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станда</w:t>
      </w:r>
      <w:proofErr w:type="gramStart"/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рт в сф</w:t>
      </w:r>
      <w:proofErr w:type="gramEnd"/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ере организации закупок </w:t>
      </w:r>
    </w:p>
    <w:p w:rsidR="008835E8" w:rsidRPr="00E47FF4" w:rsidRDefault="008835E8" w:rsidP="008835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для обеспечения муниципальных нужд </w:t>
      </w:r>
      <w:r w:rsidRPr="00E47FF4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</w:p>
    <w:p w:rsidR="008835E8" w:rsidRPr="00E47FF4" w:rsidRDefault="008835E8" w:rsidP="008835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часть</w:t>
      </w: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147FDE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1.1.1 Федеральный закон от 25.12.2008 № 273-ФЗ «О противодействии коррупции»;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1.1.2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1.2. Цели и задачи введения Антикоррупционного стандарта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1.2.1. Антикоррупционный стандарт представляет собой единую систему запретов, ограничений и дозволений, обеспечивающих предупре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ждение коррупции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товаров, работ, услуг для 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беспечения  муниципальных нужд.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прав граждан и юридических лиц.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1.2.3. Задачи введения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антикоррупционного стандарта: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создание системы противодействия коррупции в органах мес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устранение факторов, способствующих созданию условий для проявления коррупции в орг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анах местного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формирование в органах местного самоуправления нетерпимости к ко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ррупционному поведению;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деятельности 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повышение ответственности муниц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ипальных служащих и работников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при осуществлении ими своих прав и обязанностей;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1.3.2. Перечень запретов, ограничений и дозволений в сфере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закупок товаров,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обеспечения муниципальных нужд приведен в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антикоррупционного стандарта.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1.4. Требования к применению и исполнению антикоррупционного стандарта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работ, услуг для обеспечения муниципальных нужд.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всеми органами местного самоуправления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Default="008835E8" w:rsidP="00147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147FDE" w:rsidRPr="00E47FF4" w:rsidRDefault="00147FDE" w:rsidP="00147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1.5. Требования к порядку и формам </w:t>
      </w:r>
      <w:proofErr w:type="gramStart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 комиссия по противодействию коррупции в администрации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DE">
        <w:rPr>
          <w:rFonts w:ascii="Times New Roman" w:eastAsia="Times New Roman" w:hAnsi="Times New Roman" w:cs="Times New Roman"/>
          <w:sz w:val="28"/>
          <w:szCs w:val="28"/>
        </w:rPr>
        <w:t xml:space="preserve">1.5.2. Формы </w:t>
      </w:r>
      <w:proofErr w:type="gramStart"/>
      <w:r w:rsidRPr="00147F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47FD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установленных запр</w:t>
      </w:r>
      <w:r w:rsidR="00147FDE" w:rsidRPr="00147FDE">
        <w:rPr>
          <w:rFonts w:ascii="Times New Roman" w:eastAsia="Times New Roman" w:hAnsi="Times New Roman" w:cs="Times New Roman"/>
          <w:sz w:val="28"/>
          <w:szCs w:val="28"/>
        </w:rPr>
        <w:t>етов, ограничений и дозволений:</w:t>
      </w:r>
    </w:p>
    <w:p w:rsidR="00147FDE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запретов, ограничений и дозволений.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Обращения и заявления граждан, общественных объединений и средств массовой информации в комисси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ю по противодействию коррупции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8835E8" w:rsidRPr="00E47FF4" w:rsidRDefault="008835E8" w:rsidP="008835E8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1.6. Порядок изменения установленных запретов, ограничений и дозволений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7FF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8835E8" w:rsidRPr="00E47FF4" w:rsidRDefault="008835E8" w:rsidP="00147F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DE" w:rsidRDefault="00147FD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835E8" w:rsidRPr="00E47FF4" w:rsidRDefault="00147FDE" w:rsidP="008835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8835E8" w:rsidRPr="00E47FF4">
        <w:rPr>
          <w:rFonts w:ascii="Times New Roman" w:eastAsia="Times New Roman" w:hAnsi="Times New Roman" w:cs="Times New Roman"/>
          <w:b/>
          <w:bCs/>
          <w:sz w:val="28"/>
          <w:szCs w:val="28"/>
        </w:rPr>
        <w:t>. Специальная часть</w:t>
      </w:r>
    </w:p>
    <w:p w:rsidR="008835E8" w:rsidRPr="00E47FF4" w:rsidRDefault="008835E8" w:rsidP="008835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2.1. Антикоррупционный стандарт применяется в деятельности органов местного самоуправления при осуществлении своих функций и исполнения полн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омочий в сфере закупок товаров,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еспечения муниципальных нужд.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2.2. Нормативное обеспечение исполнения полномочий о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нужд:</w:t>
      </w:r>
    </w:p>
    <w:p w:rsidR="008835E8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Гражданский кодекс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(часть 2);</w:t>
      </w:r>
    </w:p>
    <w:p w:rsidR="008835E8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 Российской Федерации;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25.12.2008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нужд»;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1063 от 25.11.2013 «Об утверждении Правил определения размера штрафа, начисляемого в случае ненадлежащего исполнения заказчиком, поставщиком 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</w:t>
      </w:r>
      <w:r>
        <w:rPr>
          <w:rFonts w:ascii="Times New Roman" w:eastAsia="Times New Roman" w:hAnsi="Times New Roman" w:cs="Times New Roman"/>
          <w:sz w:val="28"/>
          <w:szCs w:val="28"/>
        </w:rPr>
        <w:t>ктом»;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656 от 14.07.2014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№ 99 от 04.02.2015 «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Об установлении дополнительных требований к участникам закупки отдельных видов, товаров,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</w:t>
      </w:r>
      <w:proofErr w:type="gramEnd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 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требованиям»;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№198 от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lastRenderedPageBreak/>
        <w:t>06.03.2015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завершается в 2015 году»;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№ 2019-р от 31.10.2013 «Об установлении перечня товаров, работ, услуг, в случае </w:t>
      </w:r>
      <w:proofErr w:type="gramStart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 закупки которых заказчик обязан проводить эл</w:t>
      </w:r>
      <w:r>
        <w:rPr>
          <w:rFonts w:ascii="Times New Roman" w:eastAsia="Times New Roman" w:hAnsi="Times New Roman" w:cs="Times New Roman"/>
          <w:sz w:val="28"/>
          <w:szCs w:val="28"/>
        </w:rPr>
        <w:t>ектронный аукцион»;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</w:t>
      </w:r>
      <w:r w:rsidRPr="007D0F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иные.</w:t>
      </w:r>
    </w:p>
    <w:p w:rsidR="007D0FB9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2.3.В целях предупреждения коррупции при организации закупок для обеспечения муниципальных нужд устанавливаются следующие</w:t>
      </w:r>
    </w:p>
    <w:p w:rsidR="008835E8" w:rsidRPr="005F523C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sz w:val="28"/>
          <w:szCs w:val="28"/>
        </w:rPr>
        <w:t>Запреты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работ, услуг для муниципальных нужд, за исключением случаев, прямо предусмотренных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- на участие в работе конкурсных, аукционных и котировочных комиссий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закупки (в том числе физических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лиц, являющихся участниками (акционерами)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ние контроля в сфере закупок;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немотивированное отклонение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заявок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соответствующих закупках или принятие решения о внесении изменений либо об отказе от проведения таких процедур в сроки, не предусмотренные де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йствующим законодательством;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купок для муниципальных нужд;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е подтверждающих квалификацию;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запреты, предусмотренные действующим законодательством;</w:t>
      </w:r>
    </w:p>
    <w:p w:rsidR="007D0FB9" w:rsidRDefault="007D0FB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 w:type="page"/>
      </w:r>
    </w:p>
    <w:p w:rsidR="007D0FB9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Ограничения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7D0FB9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участие в торгах лиц, находящихся в реестре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недобросовестных поставщиков;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ограничения, предусмотренные действующим законодательством.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835E8" w:rsidRPr="005F523C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</w:rPr>
        <w:t>Дозволения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установление порядка формирования, обеспечения, исполнения и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закупки в соответствии с федеральными законами и иными нормативными правовым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и актами Российской Федерации;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создание уполномоченного органа для осуществления функций по осуществлению заку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пок для муниципальных нужд;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формирование конкурсных, аукционных и котировочных комиссий с учетом требований де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йствующего законодательства;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использование законодательно установленных критериев оценки победителей конкурсов на закупку пр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одукции для муниципальных нужд;</w:t>
      </w:r>
    </w:p>
    <w:p w:rsidR="008835E8" w:rsidRDefault="008835E8" w:rsidP="008835E8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принятие решения о способе определения поставщика (испол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нителя,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подрядчика);</w:t>
      </w:r>
    </w:p>
    <w:p w:rsidR="008835E8" w:rsidRPr="00E47FF4" w:rsidRDefault="008835E8" w:rsidP="008835E8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требование уплаты неустойки (штрафа, пеней) в случае просрочки исполнения поставщиком (исполнителем, подрядчиком) обязательств, предусмотренн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ых муниципальным контрактом;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ным муниципальным контрактом;</w:t>
      </w:r>
    </w:p>
    <w:p w:rsidR="008835E8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чения муниципального контракта;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определение обязательств по муниципальному контракту, которые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должны быть обеспечены;</w:t>
      </w:r>
    </w:p>
    <w:p w:rsidR="008835E8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дозволения, предусмотренные действующим законодательством.</w:t>
      </w:r>
    </w:p>
    <w:sectPr w:rsidR="008835E8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67" w:rsidRDefault="009C0E67" w:rsidP="00FA1941">
      <w:r>
        <w:separator/>
      </w:r>
    </w:p>
  </w:endnote>
  <w:endnote w:type="continuationSeparator" w:id="0">
    <w:p w:rsidR="009C0E67" w:rsidRDefault="009C0E67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67" w:rsidRDefault="009C0E67" w:rsidP="00FA1941">
      <w:r>
        <w:separator/>
      </w:r>
    </w:p>
  </w:footnote>
  <w:footnote w:type="continuationSeparator" w:id="0">
    <w:p w:rsidR="009C0E67" w:rsidRDefault="009C0E67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9C0E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3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4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246A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46E1C"/>
    <w:rsid w:val="00147FDE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A5ABB"/>
    <w:rsid w:val="004B2FE8"/>
    <w:rsid w:val="004C2F62"/>
    <w:rsid w:val="00522427"/>
    <w:rsid w:val="00530B73"/>
    <w:rsid w:val="00533445"/>
    <w:rsid w:val="00535B82"/>
    <w:rsid w:val="00541F18"/>
    <w:rsid w:val="0055118B"/>
    <w:rsid w:val="00560FFE"/>
    <w:rsid w:val="00561A78"/>
    <w:rsid w:val="005A351C"/>
    <w:rsid w:val="005B4CF1"/>
    <w:rsid w:val="005D3ABF"/>
    <w:rsid w:val="005E6D63"/>
    <w:rsid w:val="00613FE1"/>
    <w:rsid w:val="006416FA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239A4"/>
    <w:rsid w:val="008322DB"/>
    <w:rsid w:val="00845F49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A7DC9"/>
    <w:rsid w:val="009B5341"/>
    <w:rsid w:val="009B78D5"/>
    <w:rsid w:val="009C0E67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AD6F29"/>
    <w:rsid w:val="00B12FB1"/>
    <w:rsid w:val="00B13FA2"/>
    <w:rsid w:val="00B15B67"/>
    <w:rsid w:val="00B17C8E"/>
    <w:rsid w:val="00B95E02"/>
    <w:rsid w:val="00BA087F"/>
    <w:rsid w:val="00BB6E11"/>
    <w:rsid w:val="00BD4295"/>
    <w:rsid w:val="00BD5953"/>
    <w:rsid w:val="00BF1A8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21CBC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...</cp:lastModifiedBy>
  <cp:revision>2</cp:revision>
  <cp:lastPrinted>2019-08-05T10:30:00Z</cp:lastPrinted>
  <dcterms:created xsi:type="dcterms:W3CDTF">2019-09-11T09:23:00Z</dcterms:created>
  <dcterms:modified xsi:type="dcterms:W3CDTF">2019-09-11T09:23:00Z</dcterms:modified>
</cp:coreProperties>
</file>